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E6" w:rsidRDefault="008B20E6" w:rsidP="008B20E6">
      <w:pPr>
        <w:rPr>
          <w:rFonts w:ascii="黑体" w:eastAsia="黑体" w:hAnsi="黑体" w:cs="黑体" w:hint="eastAsia"/>
          <w:sz w:val="32"/>
          <w:szCs w:val="32"/>
        </w:rPr>
      </w:pPr>
      <w:r>
        <w:rPr>
          <w:rFonts w:ascii="黑体" w:eastAsia="黑体" w:hAnsi="黑体" w:cs="黑体" w:hint="eastAsia"/>
          <w:sz w:val="32"/>
          <w:szCs w:val="32"/>
        </w:rPr>
        <w:t>附件1</w:t>
      </w:r>
    </w:p>
    <w:p w:rsidR="008B20E6" w:rsidRDefault="008B20E6" w:rsidP="008B20E6">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黑龙江省工商行政管理局随机抽查事项清单（第二版）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1383"/>
        <w:gridCol w:w="2835"/>
        <w:gridCol w:w="1701"/>
        <w:gridCol w:w="6705"/>
      </w:tblGrid>
      <w:tr w:rsidR="008B20E6" w:rsidTr="00B1744E">
        <w:trPr>
          <w:trHeight w:val="226"/>
          <w:jc w:val="center"/>
        </w:trPr>
        <w:tc>
          <w:tcPr>
            <w:tcW w:w="720" w:type="dxa"/>
            <w:vMerge w:val="restart"/>
            <w:vAlign w:val="center"/>
          </w:tcPr>
          <w:p w:rsidR="008B20E6" w:rsidRDefault="008B20E6" w:rsidP="00B1744E">
            <w:pPr>
              <w:widowControl/>
              <w:spacing w:line="0" w:lineRule="atLeast"/>
              <w:rPr>
                <w:rFonts w:ascii="方正小标宋_GBK" w:eastAsia="方正小标宋_GBK" w:hAnsi="黑体"/>
                <w:sz w:val="24"/>
              </w:rPr>
            </w:pPr>
            <w:r>
              <w:rPr>
                <w:rFonts w:ascii="方正小标宋_GBK" w:eastAsia="方正小标宋_GBK" w:hAnsi="黑体" w:hint="eastAsia"/>
                <w:sz w:val="24"/>
              </w:rPr>
              <w:t>序号</w:t>
            </w:r>
          </w:p>
        </w:tc>
        <w:tc>
          <w:tcPr>
            <w:tcW w:w="4218" w:type="dxa"/>
            <w:gridSpan w:val="2"/>
            <w:vAlign w:val="center"/>
          </w:tcPr>
          <w:p w:rsidR="008B20E6" w:rsidRDefault="008B20E6" w:rsidP="00B1744E">
            <w:pPr>
              <w:widowControl/>
              <w:spacing w:line="0" w:lineRule="atLeast"/>
              <w:jc w:val="center"/>
              <w:rPr>
                <w:rFonts w:ascii="方正小标宋_GBK" w:eastAsia="方正小标宋_GBK" w:hAnsi="黑体"/>
                <w:sz w:val="24"/>
              </w:rPr>
            </w:pPr>
            <w:r>
              <w:rPr>
                <w:rFonts w:ascii="方正小标宋_GBK" w:eastAsia="方正小标宋_GBK" w:hAnsi="黑体" w:hint="eastAsia"/>
                <w:sz w:val="24"/>
              </w:rPr>
              <w:t>抽查项目</w:t>
            </w:r>
          </w:p>
        </w:tc>
        <w:tc>
          <w:tcPr>
            <w:tcW w:w="1701" w:type="dxa"/>
            <w:vMerge w:val="restart"/>
            <w:vAlign w:val="center"/>
          </w:tcPr>
          <w:p w:rsidR="008B20E6" w:rsidRDefault="008B20E6" w:rsidP="00B1744E">
            <w:pPr>
              <w:widowControl/>
              <w:spacing w:line="0" w:lineRule="atLeast"/>
              <w:jc w:val="center"/>
              <w:rPr>
                <w:rFonts w:ascii="方正小标宋_GBK" w:eastAsia="方正小标宋_GBK" w:hAnsi="黑体"/>
                <w:sz w:val="24"/>
              </w:rPr>
            </w:pPr>
            <w:r>
              <w:rPr>
                <w:rFonts w:ascii="方正小标宋_GBK" w:eastAsia="方正小标宋_GBK" w:hAnsi="黑体" w:hint="eastAsia"/>
                <w:sz w:val="24"/>
              </w:rPr>
              <w:t>检查对象</w:t>
            </w:r>
          </w:p>
        </w:tc>
        <w:tc>
          <w:tcPr>
            <w:tcW w:w="6705" w:type="dxa"/>
            <w:vMerge w:val="restart"/>
            <w:vAlign w:val="center"/>
          </w:tcPr>
          <w:p w:rsidR="008B20E6" w:rsidRDefault="008B20E6" w:rsidP="00B1744E">
            <w:pPr>
              <w:widowControl/>
              <w:spacing w:line="0" w:lineRule="atLeast"/>
              <w:jc w:val="center"/>
              <w:rPr>
                <w:rFonts w:ascii="方正小标宋_GBK" w:eastAsia="方正小标宋_GBK" w:hAnsi="黑体"/>
                <w:sz w:val="24"/>
              </w:rPr>
            </w:pPr>
            <w:r>
              <w:rPr>
                <w:rFonts w:ascii="方正小标宋_GBK" w:eastAsia="方正小标宋_GBK" w:hAnsi="黑体" w:hint="eastAsia"/>
                <w:sz w:val="24"/>
              </w:rPr>
              <w:t>检查依据</w:t>
            </w:r>
          </w:p>
        </w:tc>
      </w:tr>
      <w:tr w:rsidR="008B20E6" w:rsidTr="00B1744E">
        <w:trPr>
          <w:trHeight w:val="299"/>
          <w:jc w:val="center"/>
        </w:trPr>
        <w:tc>
          <w:tcPr>
            <w:tcW w:w="720" w:type="dxa"/>
            <w:vMerge/>
            <w:vAlign w:val="center"/>
          </w:tcPr>
          <w:p w:rsidR="008B20E6" w:rsidRDefault="008B20E6" w:rsidP="00B1744E">
            <w:pPr>
              <w:widowControl/>
              <w:spacing w:line="0" w:lineRule="atLeast"/>
              <w:jc w:val="center"/>
              <w:rPr>
                <w:sz w:val="20"/>
                <w:szCs w:val="20"/>
              </w:rPr>
            </w:pPr>
          </w:p>
        </w:tc>
        <w:tc>
          <w:tcPr>
            <w:tcW w:w="1383" w:type="dxa"/>
            <w:vAlign w:val="center"/>
          </w:tcPr>
          <w:p w:rsidR="008B20E6" w:rsidRDefault="008B20E6" w:rsidP="00B1744E">
            <w:pPr>
              <w:widowControl/>
              <w:spacing w:line="0" w:lineRule="atLeast"/>
              <w:jc w:val="center"/>
              <w:rPr>
                <w:rFonts w:ascii="方正小标宋_GBK" w:eastAsia="方正小标宋_GBK" w:hAnsi="黑体"/>
                <w:sz w:val="24"/>
              </w:rPr>
            </w:pPr>
            <w:r>
              <w:rPr>
                <w:rFonts w:ascii="方正小标宋_GBK" w:eastAsia="方正小标宋_GBK" w:hAnsi="黑体" w:hint="eastAsia"/>
                <w:sz w:val="24"/>
              </w:rPr>
              <w:t>抽查类别</w:t>
            </w:r>
          </w:p>
        </w:tc>
        <w:tc>
          <w:tcPr>
            <w:tcW w:w="2835" w:type="dxa"/>
            <w:vAlign w:val="center"/>
          </w:tcPr>
          <w:p w:rsidR="008B20E6" w:rsidRDefault="008B20E6" w:rsidP="00B1744E">
            <w:pPr>
              <w:widowControl/>
              <w:spacing w:line="0" w:lineRule="atLeast"/>
              <w:jc w:val="center"/>
              <w:rPr>
                <w:rFonts w:ascii="方正小标宋_GBK" w:eastAsia="方正小标宋_GBK" w:hAnsi="黑体"/>
                <w:sz w:val="24"/>
              </w:rPr>
            </w:pPr>
            <w:r>
              <w:rPr>
                <w:rFonts w:ascii="方正小标宋_GBK" w:eastAsia="方正小标宋_GBK" w:hAnsi="黑体" w:hint="eastAsia"/>
                <w:sz w:val="24"/>
              </w:rPr>
              <w:t>抽查事项</w:t>
            </w:r>
          </w:p>
        </w:tc>
        <w:tc>
          <w:tcPr>
            <w:tcW w:w="1701" w:type="dxa"/>
            <w:vMerge/>
            <w:vAlign w:val="center"/>
          </w:tcPr>
          <w:p w:rsidR="008B20E6" w:rsidRDefault="008B20E6" w:rsidP="00B1744E">
            <w:pPr>
              <w:rPr>
                <w:sz w:val="22"/>
              </w:rPr>
            </w:pPr>
          </w:p>
        </w:tc>
        <w:tc>
          <w:tcPr>
            <w:tcW w:w="6705" w:type="dxa"/>
            <w:vMerge/>
          </w:tcPr>
          <w:p w:rsidR="008B20E6" w:rsidRDefault="008B20E6" w:rsidP="00B1744E">
            <w:pPr>
              <w:jc w:val="center"/>
              <w:rPr>
                <w:sz w:val="22"/>
              </w:rPr>
            </w:pPr>
          </w:p>
        </w:tc>
      </w:tr>
      <w:tr w:rsidR="008B20E6" w:rsidTr="00B1744E">
        <w:trPr>
          <w:trHeight w:val="299"/>
          <w:jc w:val="center"/>
        </w:trPr>
        <w:tc>
          <w:tcPr>
            <w:tcW w:w="720" w:type="dxa"/>
            <w:vMerge w:val="restart"/>
            <w:vAlign w:val="center"/>
          </w:tcPr>
          <w:p w:rsidR="008B20E6" w:rsidRDefault="008B20E6" w:rsidP="00B1744E">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1383" w:type="dxa"/>
            <w:vMerge w:val="restart"/>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登记事项</w:t>
            </w:r>
          </w:p>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检查</w:t>
            </w: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营业执照（登记证）规范使用情况的检查</w:t>
            </w:r>
          </w:p>
        </w:tc>
        <w:tc>
          <w:tcPr>
            <w:tcW w:w="1701"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企业、个体工商户、农民专业合作社、外国企业常驻代表机构</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《中华人民共和国企业法人登记管理条例》第二十九条第一款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《中华人民共和国公司登记管理条例》第七十一条、第七十二条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《中华人民共和国合伙企业登记管理办法》第四十三条、第四十四条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《外商投资合伙企业登记管理规定》第五十七条、第五十八条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《中华人民共和国个人独资企业法》第三十五条第一款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《个人独资企业登记管理办法》第四十条、第四十一条、第四十二条第二款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《个体工商户条例》第二十二条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《农民专业合作社登记管理条例》第二十七条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《外国企业常驻代表机构登记管理条例》第十八条、第三十六条第三款、第三十八条</w:t>
            </w:r>
          </w:p>
        </w:tc>
      </w:tr>
      <w:tr w:rsidR="008B20E6" w:rsidTr="00B1744E">
        <w:trPr>
          <w:trHeight w:val="299"/>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名称规范使用情况的检查</w:t>
            </w:r>
          </w:p>
        </w:tc>
        <w:tc>
          <w:tcPr>
            <w:tcW w:w="1701"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企业、个体工商户、农民专业合作社、外国企业常驻代表机构</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《企业名称登记管理规定》第二十六条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《中华人民共和国个人独资企业法》第三十四条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《个体工商户条例》第二十三条第一款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《农民专业合作社登记管理条例》第二十七条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《外国企业常驻代表机构登记管理条例》第十条、第三十八条</w:t>
            </w:r>
          </w:p>
        </w:tc>
      </w:tr>
      <w:tr w:rsidR="008B20E6" w:rsidTr="00B1744E">
        <w:trPr>
          <w:trHeight w:val="299"/>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经营（驻在）期限的检查</w:t>
            </w:r>
          </w:p>
        </w:tc>
        <w:tc>
          <w:tcPr>
            <w:tcW w:w="1701"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企业、外国企业常驻代表机构</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《中华人民共和国企业法人登记管理条例》第二十九条第一款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《中华人民共和国公司法》第二百一十一条第二款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《中华人民共和国公司登记管理条例》第六十八条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《中华人民共和国合伙企业法》第九十五条第二款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《中华人民共和国合伙企业登记管理办法》第三十九条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《外商投资合伙企业登记管理规定》第五十三条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《外国企业常驻代表机构登记管理条例》第十六条、第三十五条第二款、第三十六条第三款、第三十七条、第三十八条</w:t>
            </w:r>
          </w:p>
        </w:tc>
      </w:tr>
      <w:tr w:rsidR="008B20E6" w:rsidTr="00B1744E">
        <w:trPr>
          <w:trHeight w:val="299"/>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经营（业务）范围中无需审批的经营（业务）项目的检查</w:t>
            </w:r>
          </w:p>
        </w:tc>
        <w:tc>
          <w:tcPr>
            <w:tcW w:w="1701"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企业、个体工商户、农民专业合作社、外国企业常驻代表机构</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《中华人民共和国企业法人登记管理条例》第二十九条第一款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《中华人民共和国公司法》第二百一十一条第二款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《中华人民共和国公司登记管理条例》第六十八条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《中华人民共和国合伙企业法》第九十五条第二款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《中华人民共和国个人独资企业法》第三十七条第二款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《中华人民共和国合伙企业登记管理办法》第三十九条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《外商投资合伙企业登记管理规定》第五十三条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《个人独资企业登记管理办法》第三十八条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《个体工商户条例》第四条第二款、第八条第二款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《农民专业合作社登记管理条例》第二十七条、第二十八条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《外国企业常驻代表机构登记管理条例》第三十五条第二款、第三十七条、第三十八条</w:t>
            </w:r>
          </w:p>
        </w:tc>
      </w:tr>
      <w:tr w:rsidR="008B20E6" w:rsidTr="00B1744E">
        <w:trPr>
          <w:trHeight w:val="1201"/>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住所（经营场所）或驻在场所的检查</w:t>
            </w:r>
          </w:p>
        </w:tc>
        <w:tc>
          <w:tcPr>
            <w:tcW w:w="1701"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企业、个体工商户、农民专业合作社、外国企业常驻代表机构</w:t>
            </w:r>
          </w:p>
        </w:tc>
        <w:tc>
          <w:tcPr>
            <w:tcW w:w="6705" w:type="dxa"/>
            <w:vAlign w:val="center"/>
          </w:tcPr>
          <w:p w:rsidR="008B20E6" w:rsidRDefault="008B20E6" w:rsidP="00B1744E">
            <w:pPr>
              <w:spacing w:line="2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同上</w:t>
            </w:r>
          </w:p>
        </w:tc>
      </w:tr>
      <w:tr w:rsidR="008B20E6" w:rsidTr="00B1744E">
        <w:trPr>
          <w:trHeight w:val="299"/>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注册资本实缴情况的检查</w:t>
            </w:r>
          </w:p>
        </w:tc>
        <w:tc>
          <w:tcPr>
            <w:tcW w:w="1701" w:type="dxa"/>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实行注册资本实缴制行业的企业</w:t>
            </w:r>
          </w:p>
        </w:tc>
        <w:tc>
          <w:tcPr>
            <w:tcW w:w="6705" w:type="dxa"/>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《中华人民共和国企业法人登记管理条例》第二十九条第一款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《中华人民共和国公司法》第一百九十八条至第二百条、第二百一十一条第二款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《中华人民共和国公司登记管理条例》第六十三条、第六十五条、第六十六条、第六十八条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《中华人民共和国合伙企业法》第九十五条第二款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《中华人民共和国个人独资企业法》第三十七条第二款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《中华人民共和国合伙企业登记管理办法》第三十九条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《外商投资合伙企业登记管理规定》第五十三条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《个人独资企业登记管理办法》第三十八条</w:t>
            </w:r>
          </w:p>
        </w:tc>
      </w:tr>
      <w:tr w:rsidR="008B20E6" w:rsidTr="00B1744E">
        <w:trPr>
          <w:trHeight w:val="299"/>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法定代表人（负责人）任职情况的检查</w:t>
            </w:r>
          </w:p>
        </w:tc>
        <w:tc>
          <w:tcPr>
            <w:tcW w:w="1701" w:type="dxa"/>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企业</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《中华人民共和国企业法人登记管理条例》第二十九条第一款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《企业法人法定代表人登记管理规定》第十二条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《中华人民共和国公司法》第二百一十一条第二款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《中华人民共和国公司登记管理条例》第六十八条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《中华人民共和国合伙企业法》第九十五条第二款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《中华人民共和国合伙企业登记管理办法》第三十九条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《外商投资合伙企业登记管理规定》第五十三条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《中华人民共和国个人独资企业法》第三十七条第二款</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《个人独资企业登记管理办法》第三十八条</w:t>
            </w:r>
          </w:p>
        </w:tc>
      </w:tr>
      <w:tr w:rsidR="008B20E6" w:rsidTr="00B1744E">
        <w:trPr>
          <w:trHeight w:val="763"/>
          <w:jc w:val="center"/>
        </w:trPr>
        <w:tc>
          <w:tcPr>
            <w:tcW w:w="720" w:type="dxa"/>
            <w:vMerge/>
            <w:vAlign w:val="center"/>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法定代表人、自然人股东身份真实性的检查</w:t>
            </w:r>
          </w:p>
        </w:tc>
        <w:tc>
          <w:tcPr>
            <w:tcW w:w="1701" w:type="dxa"/>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企业</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《中华人民共和国公司法》第一百九十八条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《中华人民共和国合伙企业法》第九十三条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《中华人民共和国个人独资企业法》第三十三条</w:t>
            </w:r>
          </w:p>
        </w:tc>
      </w:tr>
      <w:tr w:rsidR="008B20E6" w:rsidTr="00B1744E">
        <w:trPr>
          <w:trHeight w:val="299"/>
          <w:jc w:val="center"/>
        </w:trPr>
        <w:tc>
          <w:tcPr>
            <w:tcW w:w="720" w:type="dxa"/>
            <w:vMerge w:val="restart"/>
            <w:vAlign w:val="center"/>
          </w:tcPr>
          <w:p w:rsidR="008B20E6" w:rsidRDefault="008B20E6" w:rsidP="00B1744E">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tc>
        <w:tc>
          <w:tcPr>
            <w:tcW w:w="1383" w:type="dxa"/>
            <w:vMerge w:val="restart"/>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公示信息</w:t>
            </w:r>
          </w:p>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检查</w:t>
            </w: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年度报告公示信息的检查及外国企业常驻代表机构年度报告情况的检查</w:t>
            </w:r>
          </w:p>
        </w:tc>
        <w:tc>
          <w:tcPr>
            <w:tcW w:w="1701"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企业、个体工商户、农民专业合作社、外国企业常驻代表机构</w:t>
            </w:r>
          </w:p>
        </w:tc>
        <w:tc>
          <w:tcPr>
            <w:tcW w:w="6705" w:type="dxa"/>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《企业信息公示暂行条例》第三条、第八条、第九条、第十一条、第十二条、第十五条、第十七条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《企业公示信息抽查暂行办法》第十条、第十二条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《企业经营异常名录管理暂行办法》第四条、第六条、第八条、第九条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《个体工商户年度报告暂行办法》第六条、第十一条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《农民专业合作社年度报告公示暂行办法》第五条、第八条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《外国企业常驻代表机构登记管理条例》第六条、第三十八条</w:t>
            </w:r>
          </w:p>
        </w:tc>
      </w:tr>
      <w:tr w:rsidR="008B20E6" w:rsidTr="00B1744E">
        <w:trPr>
          <w:trHeight w:val="1127"/>
          <w:jc w:val="center"/>
        </w:trPr>
        <w:tc>
          <w:tcPr>
            <w:tcW w:w="720" w:type="dxa"/>
            <w:vMerge/>
            <w:vAlign w:val="center"/>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即时公示信息的检查</w:t>
            </w:r>
          </w:p>
        </w:tc>
        <w:tc>
          <w:tcPr>
            <w:tcW w:w="1701" w:type="dxa"/>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企业</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《企业信息公示暂行条例》第三条、第十条、第十一条、第十二条、第十五条、第十七条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《企业公示信息抽查暂行办法》第十条、第十二条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《企业经营异常名录管理暂行办法》第四条、第七条、第八条、第九条</w:t>
            </w:r>
          </w:p>
        </w:tc>
      </w:tr>
      <w:tr w:rsidR="008B20E6" w:rsidTr="00B1744E">
        <w:trPr>
          <w:trHeight w:val="690"/>
          <w:jc w:val="center"/>
        </w:trPr>
        <w:tc>
          <w:tcPr>
            <w:tcW w:w="720" w:type="dxa"/>
            <w:vMerge w:val="restart"/>
            <w:vAlign w:val="center"/>
          </w:tcPr>
          <w:p w:rsidR="008B20E6" w:rsidRDefault="008B20E6" w:rsidP="00B1744E">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tc>
        <w:tc>
          <w:tcPr>
            <w:tcW w:w="1383" w:type="dxa"/>
            <w:vMerge w:val="restart"/>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直销行为</w:t>
            </w:r>
          </w:p>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检查</w:t>
            </w: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重大变更的检查</w:t>
            </w:r>
          </w:p>
        </w:tc>
        <w:tc>
          <w:tcPr>
            <w:tcW w:w="1701" w:type="dxa"/>
            <w:vMerge w:val="restart"/>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直销企业总公司</w:t>
            </w:r>
          </w:p>
        </w:tc>
        <w:tc>
          <w:tcPr>
            <w:tcW w:w="6705" w:type="dxa"/>
            <w:tcBorders>
              <w:bottom w:val="single" w:sz="4" w:space="0" w:color="auto"/>
            </w:tcBorders>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《直销管理条例》第七条、第八条、第十一条、第四十一条</w:t>
            </w:r>
          </w:p>
        </w:tc>
      </w:tr>
      <w:tr w:rsidR="008B20E6" w:rsidTr="00B1744E">
        <w:trPr>
          <w:trHeight w:val="693"/>
          <w:jc w:val="center"/>
        </w:trPr>
        <w:tc>
          <w:tcPr>
            <w:tcW w:w="720" w:type="dxa"/>
            <w:vMerge/>
            <w:vAlign w:val="center"/>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直销员报酬支付的检查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tcBorders>
              <w:top w:val="single" w:sz="4" w:space="0" w:color="auto"/>
              <w:bottom w:val="single" w:sz="4" w:space="0" w:color="auto"/>
            </w:tcBorders>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《直销管理条例》第二十四条、第四十九条</w:t>
            </w:r>
          </w:p>
        </w:tc>
      </w:tr>
      <w:tr w:rsidR="008B20E6" w:rsidTr="00B1744E">
        <w:trPr>
          <w:trHeight w:val="693"/>
          <w:jc w:val="center"/>
        </w:trPr>
        <w:tc>
          <w:tcPr>
            <w:tcW w:w="720" w:type="dxa"/>
            <w:vMerge/>
            <w:vAlign w:val="center"/>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信息报备和披露的检查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tcBorders>
              <w:top w:val="single" w:sz="4" w:space="0" w:color="auto"/>
            </w:tcBorders>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《直销管理条例》第二十八条、第五十条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《直销企业信息报备、披露管理办法》第四条、第五条、第六条</w:t>
            </w:r>
          </w:p>
        </w:tc>
      </w:tr>
      <w:tr w:rsidR="008B20E6" w:rsidTr="00B1744E">
        <w:trPr>
          <w:trHeight w:val="688"/>
          <w:jc w:val="center"/>
        </w:trPr>
        <w:tc>
          <w:tcPr>
            <w:tcW w:w="720" w:type="dxa"/>
            <w:vMerge w:val="restart"/>
            <w:vAlign w:val="center"/>
          </w:tcPr>
          <w:p w:rsidR="008B20E6" w:rsidRDefault="008B20E6" w:rsidP="00B1744E">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tc>
        <w:tc>
          <w:tcPr>
            <w:tcW w:w="1383" w:type="dxa"/>
            <w:vMerge w:val="restart"/>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流通领域商品质量检查</w:t>
            </w: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销售失效、变质的产品的检查</w:t>
            </w:r>
          </w:p>
        </w:tc>
        <w:tc>
          <w:tcPr>
            <w:tcW w:w="1701" w:type="dxa"/>
            <w:vMerge w:val="restart"/>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企业、个体工商户、农民专业合</w:t>
            </w:r>
            <w:r>
              <w:rPr>
                <w:rFonts w:ascii="仿宋_GB2312" w:eastAsia="仿宋_GB2312" w:hAnsi="仿宋_GB2312" w:cs="仿宋_GB2312" w:hint="eastAsia"/>
                <w:szCs w:val="21"/>
              </w:rPr>
              <w:lastRenderedPageBreak/>
              <w:t>作社</w:t>
            </w:r>
          </w:p>
        </w:tc>
        <w:tc>
          <w:tcPr>
            <w:tcW w:w="6705" w:type="dxa"/>
            <w:vAlign w:val="center"/>
          </w:tcPr>
          <w:p w:rsidR="008B20E6" w:rsidRDefault="008B20E6" w:rsidP="00B1744E">
            <w:pPr>
              <w:spacing w:line="2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《产品质量法》第五十二条</w:t>
            </w:r>
          </w:p>
        </w:tc>
      </w:tr>
      <w:tr w:rsidR="008B20E6" w:rsidTr="00B1744E">
        <w:trPr>
          <w:trHeight w:val="713"/>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不符合产品包装、标识要求的检查</w:t>
            </w:r>
          </w:p>
        </w:tc>
        <w:tc>
          <w:tcPr>
            <w:tcW w:w="1701" w:type="dxa"/>
            <w:vMerge/>
          </w:tcPr>
          <w:p w:rsidR="008B20E6" w:rsidRDefault="008B20E6" w:rsidP="00B1744E">
            <w:pPr>
              <w:spacing w:line="260" w:lineRule="exact"/>
              <w:ind w:firstLine="420"/>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《产品质量法》第二十七条、第三十六条、第五十四条</w:t>
            </w:r>
          </w:p>
        </w:tc>
      </w:tr>
      <w:tr w:rsidR="008B20E6" w:rsidTr="00B1744E">
        <w:trPr>
          <w:trHeight w:val="604"/>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服务业经营者违法行为的检查</w:t>
            </w:r>
          </w:p>
        </w:tc>
        <w:tc>
          <w:tcPr>
            <w:tcW w:w="1701" w:type="dxa"/>
            <w:vMerge/>
            <w:vAlign w:val="center"/>
          </w:tcPr>
          <w:p w:rsidR="008B20E6" w:rsidRDefault="008B20E6" w:rsidP="00B1744E">
            <w:pPr>
              <w:spacing w:line="260" w:lineRule="exact"/>
              <w:ind w:firstLine="420"/>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《产品质量法》第六十二条</w:t>
            </w:r>
          </w:p>
          <w:p w:rsidR="008B20E6" w:rsidRDefault="008B20E6" w:rsidP="00B1744E">
            <w:pPr>
              <w:spacing w:line="2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《流通领域商品质量监督管理办法》第十条、第十一条、第十五条、第三十条</w:t>
            </w:r>
          </w:p>
        </w:tc>
      </w:tr>
      <w:tr w:rsidR="008B20E6" w:rsidTr="00B1744E">
        <w:trPr>
          <w:trHeight w:val="761"/>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进货检查验收制度执行情况的检查</w:t>
            </w:r>
          </w:p>
        </w:tc>
        <w:tc>
          <w:tcPr>
            <w:tcW w:w="1701" w:type="dxa"/>
            <w:vMerge/>
            <w:vAlign w:val="center"/>
          </w:tcPr>
          <w:p w:rsidR="008B20E6" w:rsidRDefault="008B20E6" w:rsidP="00B1744E">
            <w:pPr>
              <w:spacing w:line="260" w:lineRule="exact"/>
              <w:ind w:firstLine="420"/>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《产品质量法》第三十三条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《流通领域商品质量监督管理办法》第二十二条</w:t>
            </w:r>
          </w:p>
        </w:tc>
      </w:tr>
      <w:tr w:rsidR="008B20E6" w:rsidTr="00B1744E">
        <w:trPr>
          <w:trHeight w:val="830"/>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销售者购进或销售商品的检查</w:t>
            </w:r>
          </w:p>
        </w:tc>
        <w:tc>
          <w:tcPr>
            <w:tcW w:w="1701" w:type="dxa"/>
            <w:vMerge/>
            <w:vAlign w:val="center"/>
          </w:tcPr>
          <w:p w:rsidR="008B20E6" w:rsidRDefault="008B20E6" w:rsidP="00B1744E">
            <w:pPr>
              <w:spacing w:line="260" w:lineRule="exact"/>
              <w:ind w:firstLine="420"/>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《流通领域商品质量监督管理办法》第十三条、第三十二条</w:t>
            </w:r>
          </w:p>
        </w:tc>
      </w:tr>
      <w:tr w:rsidR="008B20E6" w:rsidTr="00B1744E">
        <w:trPr>
          <w:trHeight w:val="2117"/>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商品经营柜台出租者、商品展销会举办者、网络交易平台提供者、广播电视购物平台经营者，应当对申请进入其经营场所或者平台销售商品的经营者的主体资格履行审查登记义务的检查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《流通领域商品质量监督管理办法》第二十一条第一款、第三十三条</w:t>
            </w:r>
          </w:p>
        </w:tc>
      </w:tr>
      <w:tr w:rsidR="008B20E6" w:rsidTr="00B1744E">
        <w:trPr>
          <w:trHeight w:val="700"/>
          <w:jc w:val="center"/>
        </w:trPr>
        <w:tc>
          <w:tcPr>
            <w:tcW w:w="720" w:type="dxa"/>
            <w:vMerge w:val="restart"/>
            <w:vAlign w:val="center"/>
          </w:tcPr>
          <w:p w:rsidR="008B20E6" w:rsidRDefault="008B20E6" w:rsidP="00B1744E">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tc>
        <w:tc>
          <w:tcPr>
            <w:tcW w:w="1383" w:type="dxa"/>
            <w:vMerge w:val="restart"/>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侵害消费者权益行为</w:t>
            </w:r>
          </w:p>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检查</w:t>
            </w: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经营者向消费者提供有关商品或者服务的信息的检查</w:t>
            </w:r>
          </w:p>
        </w:tc>
        <w:tc>
          <w:tcPr>
            <w:tcW w:w="1701" w:type="dxa"/>
            <w:vMerge w:val="restart"/>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企业、个体工商户、农民专业合作社</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《消费者权益保护法》第五十六条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《侵害消费者权益行为处罚办法》第六条</w:t>
            </w:r>
          </w:p>
        </w:tc>
      </w:tr>
      <w:tr w:rsidR="008B20E6" w:rsidTr="00B1744E">
        <w:trPr>
          <w:trHeight w:val="1264"/>
          <w:jc w:val="center"/>
        </w:trPr>
        <w:tc>
          <w:tcPr>
            <w:tcW w:w="720" w:type="dxa"/>
            <w:vMerge/>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使用格式条款、通知、声明、店堂告示等方式排除或者限制消费者权利、加重消费者义务的检查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《侵害消费者权益行为处罚办法》第十二条、第十五条</w:t>
            </w:r>
          </w:p>
        </w:tc>
      </w:tr>
      <w:tr w:rsidR="008B20E6" w:rsidTr="00B1744E">
        <w:trPr>
          <w:trHeight w:val="472"/>
          <w:jc w:val="center"/>
        </w:trPr>
        <w:tc>
          <w:tcPr>
            <w:tcW w:w="720" w:type="dxa"/>
            <w:vMerge w:val="restart"/>
            <w:vAlign w:val="center"/>
          </w:tcPr>
          <w:p w:rsidR="008B20E6" w:rsidRDefault="008B20E6" w:rsidP="00B1744E">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tc>
        <w:tc>
          <w:tcPr>
            <w:tcW w:w="1383" w:type="dxa"/>
            <w:vMerge w:val="restart"/>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拍卖等重要领域市场规</w:t>
            </w:r>
            <w:r>
              <w:rPr>
                <w:rFonts w:ascii="仿宋_GB2312" w:eastAsia="仿宋_GB2312" w:hAnsi="仿宋_GB2312" w:cs="仿宋_GB2312" w:hint="eastAsia"/>
                <w:szCs w:val="21"/>
              </w:rPr>
              <w:lastRenderedPageBreak/>
              <w:t>范管理</w:t>
            </w: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拍卖活动经营资格的检查</w:t>
            </w:r>
          </w:p>
        </w:tc>
        <w:tc>
          <w:tcPr>
            <w:tcW w:w="1701" w:type="dxa"/>
            <w:vMerge w:val="restart"/>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《拍卖法》第十一条、第六十条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《拍卖监督管理办法》第四条、第十一条</w:t>
            </w:r>
          </w:p>
        </w:tc>
      </w:tr>
      <w:tr w:rsidR="008B20E6" w:rsidTr="00B1744E">
        <w:trPr>
          <w:trHeight w:val="724"/>
          <w:jc w:val="center"/>
        </w:trPr>
        <w:tc>
          <w:tcPr>
            <w:tcW w:w="720" w:type="dxa"/>
            <w:vMerge/>
            <w:vAlign w:val="center"/>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文物经营活动经营资格的检查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《文物保护法》第五十三条、第五十四条、第七十二条</w:t>
            </w:r>
          </w:p>
        </w:tc>
      </w:tr>
      <w:tr w:rsidR="008B20E6" w:rsidTr="00B1744E">
        <w:trPr>
          <w:trHeight w:val="707"/>
          <w:jc w:val="center"/>
        </w:trPr>
        <w:tc>
          <w:tcPr>
            <w:tcW w:w="720" w:type="dxa"/>
            <w:vMerge/>
            <w:vAlign w:val="center"/>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为非法交易野生动物等违法行为提供交易服务的检查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《野生动物保护法》第三十二条、第五十一条</w:t>
            </w:r>
          </w:p>
        </w:tc>
      </w:tr>
      <w:tr w:rsidR="008B20E6" w:rsidTr="00B1744E">
        <w:trPr>
          <w:trHeight w:val="560"/>
          <w:jc w:val="center"/>
        </w:trPr>
        <w:tc>
          <w:tcPr>
            <w:tcW w:w="720" w:type="dxa"/>
            <w:vMerge w:val="restart"/>
            <w:vAlign w:val="center"/>
          </w:tcPr>
          <w:p w:rsidR="008B20E6" w:rsidRDefault="008B20E6" w:rsidP="00B1744E">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tc>
        <w:tc>
          <w:tcPr>
            <w:tcW w:w="1383" w:type="dxa"/>
            <w:vMerge w:val="restart"/>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广告行为</w:t>
            </w:r>
          </w:p>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检查</w:t>
            </w: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广告发布登记情况的检查</w:t>
            </w:r>
          </w:p>
        </w:tc>
        <w:tc>
          <w:tcPr>
            <w:tcW w:w="1701" w:type="dxa"/>
            <w:vMerge w:val="restart"/>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企业、个体工商户或其他经营单位</w:t>
            </w: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《广告法》第六条、第二十九条、第六十条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《广告发布登记管理规定》</w:t>
            </w:r>
          </w:p>
        </w:tc>
      </w:tr>
      <w:tr w:rsidR="008B20E6" w:rsidTr="00B1744E">
        <w:trPr>
          <w:trHeight w:val="993"/>
          <w:jc w:val="center"/>
        </w:trPr>
        <w:tc>
          <w:tcPr>
            <w:tcW w:w="720" w:type="dxa"/>
            <w:vMerge/>
            <w:vAlign w:val="center"/>
          </w:tcPr>
          <w:p w:rsidR="008B20E6" w:rsidRDefault="008B20E6" w:rsidP="00B1744E">
            <w:pPr>
              <w:jc w:val="center"/>
              <w:rPr>
                <w:rFonts w:ascii="仿宋_GB2312" w:eastAsia="仿宋_GB2312" w:hAnsi="仿宋_GB2312" w:cs="仿宋_GB2312" w:hint="eastAsia"/>
                <w:szCs w:val="21"/>
              </w:rPr>
            </w:pPr>
          </w:p>
        </w:tc>
        <w:tc>
          <w:tcPr>
            <w:tcW w:w="1383" w:type="dxa"/>
            <w:vMerge/>
            <w:vAlign w:val="center"/>
          </w:tcPr>
          <w:p w:rsidR="008B20E6" w:rsidRDefault="008B20E6" w:rsidP="00B1744E">
            <w:pPr>
              <w:spacing w:line="26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广告经营者、广告发布者建立、健全广告业务的承接登记、审核、档案管理制度情况的检查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vAlign w:val="center"/>
          </w:tcPr>
          <w:p w:rsidR="008B20E6" w:rsidRDefault="008B20E6" w:rsidP="00B1744E">
            <w:pPr>
              <w:rPr>
                <w:rFonts w:ascii="仿宋_GB2312" w:eastAsia="仿宋_GB2312" w:hAnsi="仿宋_GB2312" w:cs="仿宋_GB2312" w:hint="eastAsia"/>
                <w:szCs w:val="21"/>
              </w:rPr>
            </w:pPr>
            <w:r>
              <w:rPr>
                <w:rFonts w:ascii="仿宋_GB2312" w:eastAsia="仿宋_GB2312" w:hAnsi="仿宋_GB2312" w:cs="仿宋_GB2312" w:hint="eastAsia"/>
                <w:szCs w:val="21"/>
              </w:rPr>
              <w:t>《广告法》第三十四条、第六十一条</w:t>
            </w:r>
          </w:p>
        </w:tc>
      </w:tr>
      <w:tr w:rsidR="008B20E6" w:rsidTr="00B1744E">
        <w:trPr>
          <w:trHeight w:val="1083"/>
          <w:jc w:val="center"/>
        </w:trPr>
        <w:tc>
          <w:tcPr>
            <w:tcW w:w="720" w:type="dxa"/>
            <w:vMerge w:val="restart"/>
            <w:vAlign w:val="center"/>
          </w:tcPr>
          <w:p w:rsidR="008B20E6" w:rsidRDefault="008B20E6" w:rsidP="00B1744E">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tc>
        <w:tc>
          <w:tcPr>
            <w:tcW w:w="1383" w:type="dxa"/>
            <w:vMerge w:val="restart"/>
            <w:vAlign w:val="center"/>
          </w:tcPr>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商标、特殊标志行为</w:t>
            </w:r>
          </w:p>
          <w:p w:rsidR="008B20E6" w:rsidRDefault="008B20E6" w:rsidP="00B1744E">
            <w:pPr>
              <w:spacing w:line="26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检查</w:t>
            </w: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商标使用行为的检查</w:t>
            </w:r>
          </w:p>
        </w:tc>
        <w:tc>
          <w:tcPr>
            <w:tcW w:w="1701" w:type="dxa"/>
            <w:vMerge w:val="restart"/>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企业、个体工商户、农民专业合作社</w:t>
            </w:r>
          </w:p>
        </w:tc>
        <w:tc>
          <w:tcPr>
            <w:tcW w:w="6705" w:type="dxa"/>
          </w:tcPr>
          <w:p w:rsidR="008B20E6" w:rsidRDefault="008B20E6" w:rsidP="00B1744E">
            <w:pPr>
              <w:spacing w:line="2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《中华人民共和国商标法》第六条、第十条、第十四条第五款、第四十三条第二款、第四十九条第一款、第五十一条、第五十二条、第五十三条</w:t>
            </w:r>
          </w:p>
          <w:p w:rsidR="008B20E6" w:rsidRDefault="008B20E6" w:rsidP="00B1744E">
            <w:pPr>
              <w:spacing w:line="26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《中华人民共和国商标法实施条例》第七十一条</w:t>
            </w:r>
          </w:p>
        </w:tc>
      </w:tr>
      <w:tr w:rsidR="008B20E6" w:rsidTr="00B1744E">
        <w:trPr>
          <w:trHeight w:val="1128"/>
          <w:jc w:val="center"/>
        </w:trPr>
        <w:tc>
          <w:tcPr>
            <w:tcW w:w="720" w:type="dxa"/>
            <w:vMerge/>
          </w:tcPr>
          <w:p w:rsidR="008B20E6" w:rsidRDefault="008B20E6" w:rsidP="00B1744E">
            <w:pPr>
              <w:jc w:val="center"/>
              <w:rPr>
                <w:rFonts w:ascii="仿宋_GB2312" w:eastAsia="仿宋_GB2312" w:hAnsi="仿宋_GB2312" w:cs="仿宋_GB2312" w:hint="eastAsia"/>
                <w:sz w:val="28"/>
                <w:szCs w:val="28"/>
              </w:rPr>
            </w:pPr>
          </w:p>
        </w:tc>
        <w:tc>
          <w:tcPr>
            <w:tcW w:w="1383" w:type="dxa"/>
            <w:vMerge/>
          </w:tcPr>
          <w:p w:rsidR="008B20E6" w:rsidRDefault="008B20E6" w:rsidP="00B1744E">
            <w:pPr>
              <w:spacing w:line="32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集体商标、证明商标（含地理标志）使用行为的检查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《中华人民共和国商标法》第十六条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《中华人民共和国商标法实施条例》第四条</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《集体商标、证明商标注册和管理办法》第十七条、第十八条、第十九条、第二十条</w:t>
            </w:r>
          </w:p>
        </w:tc>
      </w:tr>
      <w:tr w:rsidR="008B20E6" w:rsidTr="00B1744E">
        <w:trPr>
          <w:trHeight w:val="472"/>
          <w:jc w:val="center"/>
        </w:trPr>
        <w:tc>
          <w:tcPr>
            <w:tcW w:w="720" w:type="dxa"/>
            <w:vMerge/>
          </w:tcPr>
          <w:p w:rsidR="008B20E6" w:rsidRDefault="008B20E6" w:rsidP="00B1744E">
            <w:pPr>
              <w:jc w:val="center"/>
              <w:rPr>
                <w:rFonts w:ascii="仿宋_GB2312" w:eastAsia="仿宋_GB2312" w:hAnsi="仿宋_GB2312" w:cs="仿宋_GB2312" w:hint="eastAsia"/>
                <w:sz w:val="28"/>
                <w:szCs w:val="28"/>
              </w:rPr>
            </w:pPr>
          </w:p>
        </w:tc>
        <w:tc>
          <w:tcPr>
            <w:tcW w:w="1383" w:type="dxa"/>
            <w:vMerge/>
          </w:tcPr>
          <w:p w:rsidR="008B20E6" w:rsidRDefault="008B20E6" w:rsidP="00B1744E">
            <w:pPr>
              <w:spacing w:line="32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商标印制行为的检查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《商标印制管理办法》第三条、第四条、第五条、第六条、第七条、第八条、第九条、第十条、第十一条、第十二条、第十三条</w:t>
            </w:r>
          </w:p>
        </w:tc>
      </w:tr>
      <w:tr w:rsidR="008B20E6" w:rsidTr="00B1744E">
        <w:trPr>
          <w:trHeight w:val="472"/>
          <w:jc w:val="center"/>
        </w:trPr>
        <w:tc>
          <w:tcPr>
            <w:tcW w:w="720" w:type="dxa"/>
            <w:vMerge/>
          </w:tcPr>
          <w:p w:rsidR="008B20E6" w:rsidRDefault="008B20E6" w:rsidP="00B1744E">
            <w:pPr>
              <w:jc w:val="center"/>
              <w:rPr>
                <w:rFonts w:ascii="仿宋_GB2312" w:eastAsia="仿宋_GB2312" w:hAnsi="仿宋_GB2312" w:cs="仿宋_GB2312" w:hint="eastAsia"/>
                <w:sz w:val="28"/>
                <w:szCs w:val="28"/>
              </w:rPr>
            </w:pPr>
          </w:p>
        </w:tc>
        <w:tc>
          <w:tcPr>
            <w:tcW w:w="1383" w:type="dxa"/>
            <w:vMerge/>
          </w:tcPr>
          <w:p w:rsidR="008B20E6" w:rsidRDefault="008B20E6" w:rsidP="00B1744E">
            <w:pPr>
              <w:spacing w:line="32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商标代理行为的检查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《中华人民共和国商标法》第六十八条第一款第（二）项</w:t>
            </w:r>
          </w:p>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《中华人民共和国商标法实施条例》第八十八条第（一）项、第八十九条</w:t>
            </w:r>
          </w:p>
        </w:tc>
      </w:tr>
      <w:tr w:rsidR="008B20E6" w:rsidTr="00B1744E">
        <w:trPr>
          <w:trHeight w:val="472"/>
          <w:jc w:val="center"/>
        </w:trPr>
        <w:tc>
          <w:tcPr>
            <w:tcW w:w="720" w:type="dxa"/>
            <w:vMerge/>
          </w:tcPr>
          <w:p w:rsidR="008B20E6" w:rsidRDefault="008B20E6" w:rsidP="00B1744E">
            <w:pPr>
              <w:jc w:val="center"/>
              <w:rPr>
                <w:rFonts w:ascii="仿宋_GB2312" w:eastAsia="仿宋_GB2312" w:hAnsi="仿宋_GB2312" w:cs="仿宋_GB2312" w:hint="eastAsia"/>
                <w:sz w:val="28"/>
                <w:szCs w:val="28"/>
              </w:rPr>
            </w:pPr>
          </w:p>
        </w:tc>
        <w:tc>
          <w:tcPr>
            <w:tcW w:w="1383" w:type="dxa"/>
            <w:vMerge/>
          </w:tcPr>
          <w:p w:rsidR="008B20E6" w:rsidRDefault="008B20E6" w:rsidP="00B1744E">
            <w:pPr>
              <w:spacing w:line="320" w:lineRule="exact"/>
              <w:jc w:val="center"/>
              <w:rPr>
                <w:rFonts w:ascii="仿宋_GB2312" w:eastAsia="仿宋_GB2312" w:hAnsi="仿宋_GB2312" w:cs="仿宋_GB2312" w:hint="eastAsia"/>
                <w:szCs w:val="21"/>
              </w:rPr>
            </w:pPr>
          </w:p>
        </w:tc>
        <w:tc>
          <w:tcPr>
            <w:tcW w:w="2835" w:type="dxa"/>
            <w:vAlign w:val="center"/>
          </w:tcPr>
          <w:p w:rsidR="008B20E6" w:rsidRDefault="008B20E6" w:rsidP="00B1744E">
            <w:pPr>
              <w:spacing w:line="260" w:lineRule="exact"/>
              <w:rPr>
                <w:rFonts w:ascii="仿宋_GB2312" w:eastAsia="仿宋_GB2312" w:hAnsi="仿宋_GB2312" w:cs="仿宋_GB2312" w:hint="eastAsia"/>
                <w:szCs w:val="21"/>
              </w:rPr>
            </w:pPr>
            <w:r>
              <w:rPr>
                <w:rFonts w:ascii="仿宋_GB2312" w:eastAsia="仿宋_GB2312" w:hAnsi="仿宋_GB2312" w:cs="仿宋_GB2312" w:hint="eastAsia"/>
                <w:szCs w:val="21"/>
              </w:rPr>
              <w:t>特殊标志使用行为的检查</w:t>
            </w:r>
          </w:p>
        </w:tc>
        <w:tc>
          <w:tcPr>
            <w:tcW w:w="1701" w:type="dxa"/>
            <w:vMerge/>
            <w:vAlign w:val="center"/>
          </w:tcPr>
          <w:p w:rsidR="008B20E6" w:rsidRDefault="008B20E6" w:rsidP="00B1744E">
            <w:pPr>
              <w:spacing w:line="260" w:lineRule="exact"/>
              <w:rPr>
                <w:rFonts w:ascii="仿宋_GB2312" w:eastAsia="仿宋_GB2312" w:hAnsi="仿宋_GB2312" w:cs="仿宋_GB2312" w:hint="eastAsia"/>
                <w:szCs w:val="21"/>
              </w:rPr>
            </w:pPr>
          </w:p>
        </w:tc>
        <w:tc>
          <w:tcPr>
            <w:tcW w:w="6705" w:type="dxa"/>
            <w:vAlign w:val="center"/>
          </w:tcPr>
          <w:p w:rsidR="008B20E6" w:rsidRDefault="008B20E6" w:rsidP="00B1744E">
            <w:pPr>
              <w:rPr>
                <w:rFonts w:ascii="仿宋_GB2312" w:eastAsia="仿宋_GB2312" w:hAnsi="仿宋_GB2312" w:cs="仿宋_GB2312" w:hint="eastAsia"/>
                <w:szCs w:val="21"/>
              </w:rPr>
            </w:pPr>
            <w:r>
              <w:rPr>
                <w:rFonts w:ascii="仿宋_GB2312" w:eastAsia="仿宋_GB2312" w:hAnsi="仿宋_GB2312" w:cs="仿宋_GB2312" w:hint="eastAsia"/>
                <w:szCs w:val="21"/>
              </w:rPr>
              <w:t>《特殊标志管理条例》第十五条</w:t>
            </w:r>
          </w:p>
        </w:tc>
      </w:tr>
    </w:tbl>
    <w:p w:rsidR="00E441FA" w:rsidRDefault="00E441FA"/>
    <w:sectPr w:rsidR="00E441FA" w:rsidSect="008B20E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20E6"/>
    <w:rsid w:val="008B20E6"/>
    <w:rsid w:val="00E44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rsid w:val="008B20E6"/>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2018-04-09T03:23:00Z</dcterms:created>
  <dcterms:modified xsi:type="dcterms:W3CDTF">2018-04-09T03:24:00Z</dcterms:modified>
</cp:coreProperties>
</file>